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A9" w:rsidRPr="003B7E5A" w:rsidRDefault="002826A9" w:rsidP="002826A9">
      <w:pPr>
        <w:shd w:val="clear" w:color="auto" w:fill="FFFFFF" w:themeFill="background1"/>
        <w:ind w:left="-567" w:firstLine="283"/>
        <w:jc w:val="both"/>
        <w:rPr>
          <w:b/>
        </w:rPr>
      </w:pPr>
      <w:r w:rsidRPr="003B7E5A">
        <w:rPr>
          <w:b/>
        </w:rPr>
        <w:t>Тема 11: Финансирование исполнительных и других органов выполняющих функции управления.</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Различают стратегическое и оперативное управление финансами.</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Стратегическое управление финансами возложено Конституцией республики Казахстан на высшие органы государственной власти и управления: Парламент, Аппарат Президента, Правительство, Министерство финансов.</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Президент Республики Казахстан обладает обширными полномочиями в управлении финансами, которые реализуются во многом через Аппарат Президента. Президент ежегодно обращается с посланием к народу о положении в стране и основных направлениях внутренней и внешней политики республики, издает указы и распоряжения по стратегическим вопросам экономического и социального развития страны и т. д.</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В компетенции Парламента решения финансовых проблем осуществляется в праве законодательной инициативы по внесению на обсуждения и последующее голосование законодательных актов - законов Республики Казахстан и постановлений парламента.</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Парламент издает законы, которые регулируют важнейшие общественные отношения, устанавливают основополагающие принципы и норма, касающиеся:</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Налогообложения, установление сборов и других обязательных платежей;</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Республиканского бюджета;</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*Обеспечения обороны и безопасности страны и т. д.</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Рабочими органами Парламента являются постоянные комитеты</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Сената и Мажилиса - комитеты по экономике, финансам, бюджету, работающие на постоянной основе. [16, c.33]</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Общегосударственные финансы управляются Министерством финансов Республики Казахстан. Министерство финансов осуществляет стратегическое и оперативное управление финансами, методическое руководство в области финансового планирования народного хозяйства, изучает экономику и финансы отраслей. Их задачей является разработка проектов финансового законодательства; совершенствование форм финансовых отношений государства с предприятиями, организациями; планирование доходов и расходов государственного бюджета и т.д.</w:t>
      </w:r>
    </w:p>
    <w:p w:rsidR="002826A9" w:rsidRPr="003B7E5A" w:rsidRDefault="002826A9" w:rsidP="002826A9">
      <w:pPr>
        <w:shd w:val="clear" w:color="auto" w:fill="FFFFFF" w:themeFill="background1"/>
        <w:ind w:left="-567" w:firstLine="283"/>
        <w:jc w:val="both"/>
      </w:pP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Расходы на государственное управление - одно из основных функций государства - финансируются из бюджетов разных уровней.</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 xml:space="preserve">Из Государственного бюджета финансируются расходы на обеспечение конституционного строя государства, государственной целостности и суверенитета, независимого судопроизводства и другие непредвиденные Бюджетным кодексом Украины расходы, которые не могут быть переданы на исполнение Автономной Республике Казахстан местному самоуправлению. Они включают расходы на функционирование законодательной, исполнительной и судебной власти, содержание Президента и его аппарата, финансовых и фискальных органов, общее планирование и статистические службы. За счет средств республиканского Автономной Республики Казахстан бюджетов местного самоуправления, в том числе трансфертов из Государственного бюджета финансируются расходы, которые определяются функциями государства и могут быть переданы на исполнение Автономной Республике Казахстан местному самоуправлению с целью обеспечения наиболее эффективного их </w:t>
      </w:r>
      <w:r w:rsidRPr="003B7E5A">
        <w:lastRenderedPageBreak/>
        <w:t>использования на основе принципа субсидиарности. Из областных, районных и бюджетов самоуправления осуществляются расходы на содержание соответствующих органов государственной власти и местного самоуправления. Они направляются на обеспечение прав и обязанностей Автономной Республики Казахстана  и местного самоуправления, которые имеют местный характер и определены законами Казахстана. Ответственность за осуществление расходов за счет средств Государственного бюджета Казахстана несут соответствующие органы государственной власти. А ответственность за осуществление расходов за счет средств местных бюджетов и трансфертов возлагается на Совет Министров Автономной Республики Крым, местные государственные администрации, исполнительные органы соответствующих советов, городских, поселковых, сельских председателей (если исполнительные органы не созданы).</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Государство может передать Совету Министров Автономной Республики Казахстанорганам местного самоуправления право осуществления расходов только с одновременной передачей бюджетных ресурсов в форме закрепленных за соответствующими бюджетами общегосударственных налогов и сборов (обязательных платежей) или их части, а также трансфертов из Государственного бюджета Украины.</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Совет Министров Автономной Республики Казахстана, местные государственные администрации, исполнительные органы соответствующих советов, городские, поселковые, сельские головы обязаны обеспечить осуществление расходов из соответствующих местных бюджетов с соблюдением распределения этих расходов между бюджетами, определенными Бюджетным кодексом. Не допускается осуществление расходов, не отнесенных к местных бюджетов, и расходов на финансирование бюджетных учреждений одновременно из разных бюджетов на протяжении бюджетного периода.</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Расходы на государственное управление включают следующие расходы:</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 на функционирование законодательной власти (аппарата Верховной Рады Казахстана, аппарата Верховной Рады Автономной Республики Казахстана, обеспечение деятельности народных депутатов, аппарата Счетной палаты Верховной Рады КЗ, другие расходы);</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 на функционирование исполнительной власти (аппарата Кабинета Министров Украины, аппарата Совета Министров Автономной Республики Казахстан ее местных органов, местных государственных администраций, органов местного самоуправления);</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 на содержание Президента и его аппарата;</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 на общее планирование и статистические службы (проведение статистических обследований и переписей, прочие расходы на общегосударственное управление (изготовление орденов, медалей, документов к ним; изготовление и перевозку национальной валюты, приобретение оборудования для производства ценных бумаг и монет; производство бланков ценных бумаг и документов строгого учета; содержание Пробирной палаты Украины, содержание центра правовых реформ и законопроектных работ; содержание Фонда содействия становлению местного и регионального самоуправления; расходы на паспортизацию населения КЗ; расходы на введение нового налогового и бюджетного законодательства);</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Планирование расходов на содержание органов государственного управления происходит в форме составления индивидуальных и сводных смет доходов и расходов. Вместе со сметой утверждается штатное расписание органов государственного управления, включая их структурные подразделения. В нем указывается количество штатных единиц в разрезе структурных подразделений, должностные оклады для каждой должности и месячный фонд оплаты труда в расчете на одну должность.</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Сметы центральных органов исполнительной власти независимо от источников содержание, областных, Киевской и Севастопольской городских государственных администраций утверждаются Министерством финансов Кз  .Сметы и штатные расписания органов исполнительной власти, подчиненных министерствам и другим центральным органам исполнительной власти, утверждаются руководителями этих министерств и других центральных органов исполнительной власти. Сметы управлений, отделов, других подразделений областных, Киевской и Севастопольской городских государственных администраций, районных государственных администраций утверждаются соответствующими государственными администрациями после предварительной проверки в областных, Киевскому и Севастопольскому городским финансовых управлениях. Сметы управлений, отделов, других подразделений районных государственных администраций утверждают районные государственные администрации после их предварительной проверки районными финансовыми отделами.</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Планирование расходов на содержание органов государственного управления по категориям расходов экономической классификации осуществляется в таком же порядке, как и другими бюджетными учреждениями.</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В составе расходов на государственное управление наибольшую долю составляют средства на оплату труда (около 75%).</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Административная реформа в КЗ- это не кратковременная кампания, а комплекс мероприятий, рассчитанных на длительную перспективу развития государства. Изменения в структуре центральных органов исполнительной в ди, введенные Указом Президента КЗ от 19.12.1999 p. №1573/95, предусматривают перераспределение функций управления путем ликвидации лишних органов государственного управления или уточнения функций или статуса остальных из них. Изменения касаются прежде всего качественной стороны управления. Относительно определения количественных показателей сокращения штатов, то для расчета численности аппарата управления на государственном уровне экспертная оценка является недостаточной.</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Для реформирования государственного управления нужен системно-функциональный подход, который позволит определить оптимальную для нашего государства структуру органов исполнительной власти и их численность.</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Исходя из того, что система управления реализуется главным образом через взаимоотношения между работниками органов управления, эти отношения и, соответственно, соотношение численности аппаратов различных органов управления также носят системный характер. Так, рост доли частных предприятий должна уменьшать нагрузку на средние звенья государственного управления и соответственно увеличивать штаты на уровне предпринимательских структур. В целом сокращение государственного сектора приводит к повышению значения (на государственном уровне) органов функционального управления (комитетов и других ведомств) за счет министерств, осуществлявших отраслевое линейное управление.</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Становление самоуправления также требует существенных изменений в распределении управленческого персонала, потому что подчинение коммунальных предприятий в основном низшим звеньям территориального управления требует их укрепления кадрами, которого можно достичь за счет сокращения штатов министерств, так и средних и высших звеньев территориального управления, из подчинения которых постепенно выводится коммунальное хозяйство. В зависимости от экономической ситуации меняются и приоритеты в развитии тех или иных отраслей, что также требует перераспределения численности работников министерств и ведомств, органов территориального управления.</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В системе органов управления избыточная численность управленцев в тех или других звеньях не только не дает пользы для управления на низших звеньях, но и приводит к тому, что на низшие уровни поступает неоправданно большое количество распорядительных актов и указаний, более того, недогружены высшие органы начинают вмешиваться в дела низших, подменять их. Еще более опасной является недостаточная численность ра ботников в определенной звене. В таком случае природные недостатки в ее работе негативно сказываются на всех низших звеньях и не могут быть ими компенсированы даже при увеличении штатов. Ликвидация промежуточного звена линейного управления, как правило, вызывает необходимость усиления функциональных служб высшего органа управления. Таким образом, эффективность изменения численности аппарата данного органа управления следует рассматривать не локально, а лишь в системе органов управления.</w:t>
      </w:r>
    </w:p>
    <w:p w:rsidR="002826A9" w:rsidRPr="003B7E5A" w:rsidRDefault="002826A9" w:rsidP="002826A9">
      <w:pPr>
        <w:pStyle w:val="a3"/>
        <w:shd w:val="clear" w:color="auto" w:fill="FFFFFF" w:themeFill="background1"/>
        <w:spacing w:before="0" w:beforeAutospacing="0" w:after="0" w:afterAutospacing="0"/>
        <w:ind w:left="-567" w:firstLine="283"/>
        <w:jc w:val="both"/>
      </w:pPr>
      <w:r w:rsidRPr="003B7E5A">
        <w:t>Реформируя государственное управление, следует иметь в виду, что в сложных экономических условиях резкого сокращения аппарата управления без решения проблемы существенного повышения производительности труда государственных служащих может привести к дальнейшему ухудшению управляемости государством. Поэтому необходим переход на интенсивный путь совершенствования деятельности аппарата органов управления, а это требует решения ряда проблем как в теоретическом, так и в практическом направлениях, а именно: рационализации распределения функций органов управления; разработка научно обоснованной нормативной базы (определение общей численности служащих в сфере государственного управления с учетом возможностей их содержание государством); повышение квалификации служащих, улучшения их информационного обеспечения, повышения действенности материального стимулирования; совершенствования законодательного обеспечения государственной службы и контроля за его соблюдением.</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A9"/>
    <w:rsid w:val="002826A9"/>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A9"/>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826A9"/>
    <w:pPr>
      <w:spacing w:before="100" w:beforeAutospacing="1" w:after="100" w:afterAutospacing="1"/>
    </w:pPr>
    <w:rPr>
      <w:rFonts w:ascii="Arial Unicode MS" w:eastAsia="Arial Unicode MS" w:hAnsi="Arial Unicode MS" w:cs="Arial Unicode MS"/>
      <w:color w:val="000000"/>
      <w:lang w:eastAsia="ru-RU"/>
    </w:rPr>
  </w:style>
  <w:style w:type="character" w:customStyle="1" w:styleId="a4">
    <w:name w:val="Обычный (веб) Знак"/>
    <w:basedOn w:val="a0"/>
    <w:link w:val="a3"/>
    <w:uiPriority w:val="99"/>
    <w:rsid w:val="002826A9"/>
    <w:rPr>
      <w:rFonts w:ascii="Arial Unicode MS" w:eastAsia="Arial Unicode MS" w:hAnsi="Arial Unicode MS" w:cs="Arial Unicode M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A9"/>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826A9"/>
    <w:pPr>
      <w:spacing w:before="100" w:beforeAutospacing="1" w:after="100" w:afterAutospacing="1"/>
    </w:pPr>
    <w:rPr>
      <w:rFonts w:ascii="Arial Unicode MS" w:eastAsia="Arial Unicode MS" w:hAnsi="Arial Unicode MS" w:cs="Arial Unicode MS"/>
      <w:color w:val="000000"/>
      <w:lang w:eastAsia="ru-RU"/>
    </w:rPr>
  </w:style>
  <w:style w:type="character" w:customStyle="1" w:styleId="a4">
    <w:name w:val="Обычный (веб) Знак"/>
    <w:basedOn w:val="a0"/>
    <w:link w:val="a3"/>
    <w:uiPriority w:val="99"/>
    <w:rsid w:val="002826A9"/>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10032</Characters>
  <Application>Microsoft Macintosh Word</Application>
  <DocSecurity>0</DocSecurity>
  <Lines>83</Lines>
  <Paragraphs>23</Paragraphs>
  <ScaleCrop>false</ScaleCrop>
  <Company>Dom</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2021-01-27T18:27:00Z</dcterms:created>
  <dcterms:modified xsi:type="dcterms:W3CDTF">2021-01-27T18:27:00Z</dcterms:modified>
</cp:coreProperties>
</file>